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1F4E79" w:val="clear"/>
            <w:tcMar>
              <w:top w:type="dxa" w:w="120"/>
              <w:left w:type="dxa" w:w="180"/>
              <w:bottom w:type="dxa" w:w="120"/>
              <w:right w:type="dxa" w:w="180"/>
            </w:tcMar>
          </w:tcPr>
          <w:p>
            <w:pPr>
              <w:spacing w:after="80"/>
            </w:pPr>
            <w:r>
              <w:rPr>
                <w:rFonts w:ascii="Arial" w:cs="Arial" w:eastAsia="Arial" w:hAnsi="Arial"/>
                <w:b/>
                <w:bCs/>
                <w:caps/>
                <w:color w:val="FFFFFF"/>
                <w:sz w:val="20"/>
                <w:szCs w:val="20"/>
              </w:rPr>
              <w:t xml:space="preserve">INSTRUCTOR GUIDE</w:t>
            </w:r>
          </w:p>
          <w:p>
            <w:pPr>
              <w:spacing w:after="120"/>
            </w:pPr>
            <w:r>
              <w:rPr>
                <w:rFonts w:ascii="Arial" w:cs="Arial" w:eastAsia="Arial" w:hAnsi="Arial"/>
                <w:b/>
                <w:bCs/>
                <w:color w:val="FFFFFF"/>
                <w:sz w:val="36"/>
                <w:szCs w:val="36"/>
              </w:rPr>
              <w:t xml:space="preserve">Lab 02 — EDA and Data Preparation</w:t>
            </w:r>
          </w:p>
          <w:p>
            <w:pPr>
              <w:spacing w:after="60"/>
            </w:pPr>
            <w:r>
              <w:rPr>
                <w:rFonts w:ascii="Arial" w:cs="Arial" w:eastAsia="Arial" w:hAnsi="Arial"/>
                <w:color w:val="C9DAEA"/>
                <w:sz w:val="22"/>
                <w:szCs w:val="22"/>
              </w:rPr>
              <w:t xml:space="preserve">Interactive Data Visualization · BSc Informatics Engineering</w:t>
            </w:r>
          </w:p>
          <w:p>
            <w:pPr>
              <w:spacing w:after="0"/>
            </w:pPr>
            <w:r>
              <w:rPr>
                <w:rFonts w:ascii="Arial" w:cs="Arial" w:eastAsia="Arial" w:hAnsi="Arial"/>
                <w:color w:val="C9DAEA"/>
                <w:sz w:val="20"/>
                <w:szCs w:val="20"/>
              </w:rPr>
              <w:t xml:space="preserve">Task 1: Datasaurus Dozen  ·  Task 2: Indie Game Telemetry</w:t>
            </w:r>
          </w:p>
        </w:tc>
      </w:tr>
    </w:tbl>
    <w:p>
      <w:pPr>
        <w:spacing w:after="80"/>
      </w:pPr>
    </w:p>
    <w:p>
      <w:pPr>
        <w:pStyle w:val="Heading1"/>
      </w:pPr>
      <w:r>
        <w:rPr>
          <w:rFonts w:ascii="Arial" w:cs="Arial" w:eastAsia="Arial" w:hAnsi="Arial"/>
          <w:b/>
          <w:bCs/>
          <w:color w:val="1F4E79"/>
          <w:sz w:val="32"/>
          <w:szCs w:val="32"/>
        </w:rPr>
        <w:t xml:space="preserve">At a Glance</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1200"/>
        <w:gridCol w:w="5000"/>
        <w:gridCol w:w="1500"/>
        <w:gridCol w:w="1326"/>
      </w:tblGrid>
      <w:tr>
        <w:tc>
          <w:tcPr>
            <w:tcW w:type="dxa" w:w="1200"/>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Time</w:t>
            </w:r>
          </w:p>
        </w:tc>
        <w:tc>
          <w:tcPr>
            <w:tcW w:type="dxa" w:w="5000"/>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Activity</w:t>
            </w:r>
          </w:p>
        </w:tc>
        <w:tc>
          <w:tcPr>
            <w:tcW w:type="dxa" w:w="1500"/>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Duration</w:t>
            </w:r>
          </w:p>
        </w:tc>
        <w:tc>
          <w:tcPr>
            <w:tcW w:type="dxa" w:w="1326"/>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Notes</w:t>
            </w:r>
          </w:p>
        </w:tc>
      </w:tr>
      <w:tr>
        <w:tc>
          <w:tcPr>
            <w:tcW w:type="dxa" w:w="12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0:00</w:t>
            </w:r>
          </w:p>
        </w:tc>
        <w:tc>
          <w:tcPr>
            <w:tcW w:type="dxa" w:w="50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Setup — packages, dataset files, D-Tale browser tab</w:t>
            </w:r>
          </w:p>
        </w:tc>
        <w:tc>
          <w:tcPr>
            <w:tcW w:type="dxa" w:w="15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5 min</w:t>
            </w:r>
          </w:p>
        </w:tc>
        <w:tc>
          <w:tcPr>
            <w:tcW w:type="dxa" w:w="1326"/>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Verify all students can import sweetviz and dtale</w:t>
            </w:r>
          </w:p>
        </w:tc>
      </w:tr>
      <w:tr>
        <w:tc>
          <w:tcPr>
            <w:tcW w:type="dxa" w:w="12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0:05</w:t>
            </w:r>
          </w:p>
        </w:tc>
        <w:tc>
          <w:tcPr>
            <w:tcW w:type="dxa" w:w="50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TASK 1 — Load &amp; inspect Datasaurus Dozen</w:t>
            </w:r>
          </w:p>
        </w:tc>
        <w:tc>
          <w:tcPr>
            <w:tcW w:type="dxa" w:w="15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8 min</w:t>
            </w:r>
          </w:p>
        </w:tc>
        <w:tc>
          <w:tcPr>
            <w:tcW w:type="dxa" w:w="1326"/>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Guided; run cells together</w:t>
            </w:r>
          </w:p>
        </w:tc>
      </w:tr>
      <w:tr>
        <w:tc>
          <w:tcPr>
            <w:tcW w:type="dxa" w:w="12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0:13</w:t>
            </w:r>
          </w:p>
        </w:tc>
        <w:tc>
          <w:tcPr>
            <w:tcW w:type="dxa" w:w="50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TASK 1 — Grouped stats reveal</w:t>
            </w:r>
          </w:p>
        </w:tc>
        <w:tc>
          <w:tcPr>
            <w:tcW w:type="dxa" w:w="15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7 min</w:t>
            </w:r>
          </w:p>
        </w:tc>
        <w:tc>
          <w:tcPr>
            <w:tcW w:type="dxa" w:w="1326"/>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Pause here — discuss before showing the plot</w:t>
            </w:r>
          </w:p>
        </w:tc>
      </w:tr>
      <w:tr>
        <w:tc>
          <w:tcPr>
            <w:tcW w:type="dxa" w:w="12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0:20</w:t>
            </w:r>
          </w:p>
        </w:tc>
        <w:tc>
          <w:tcPr>
            <w:tcW w:type="dxa" w:w="50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TASK 1 — Scatterplots + small multiples</w:t>
            </w:r>
          </w:p>
        </w:tc>
        <w:tc>
          <w:tcPr>
            <w:tcW w:type="dxa" w:w="15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10 min</w:t>
            </w:r>
          </w:p>
        </w:tc>
        <w:tc>
          <w:tcPr>
            <w:tcW w:type="dxa" w:w="1326"/>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Key pedagogical moment; allow reflection time</w:t>
            </w:r>
          </w:p>
        </w:tc>
      </w:tr>
      <w:tr>
        <w:tc>
          <w:tcPr>
            <w:tcW w:type="dxa" w:w="12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0:30</w:t>
            </w:r>
          </w:p>
        </w:tc>
        <w:tc>
          <w:tcPr>
            <w:tcW w:type="dxa" w:w="50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TASK 1 — Free exploration + transition</w:t>
            </w:r>
          </w:p>
        </w:tc>
        <w:tc>
          <w:tcPr>
            <w:tcW w:type="dxa" w:w="15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5 min</w:t>
            </w:r>
          </w:p>
        </w:tc>
        <w:tc>
          <w:tcPr>
            <w:tcW w:type="dxa" w:w="1326"/>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Prompt: which chart types reveal the structure?</w:t>
            </w:r>
          </w:p>
        </w:tc>
      </w:tr>
      <w:tr>
        <w:tc>
          <w:tcPr>
            <w:tcW w:type="dxa" w:w="12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0:35</w:t>
            </w:r>
          </w:p>
        </w:tc>
        <w:tc>
          <w:tcPr>
            <w:tcW w:type="dxa" w:w="50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TASK 2 — Load data + SweetViz report</w:t>
            </w:r>
          </w:p>
        </w:tc>
        <w:tc>
          <w:tcPr>
            <w:tcW w:type="dxa" w:w="15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8 min</w:t>
            </w:r>
          </w:p>
        </w:tc>
        <w:tc>
          <w:tcPr>
            <w:tcW w:type="dxa" w:w="1326"/>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SweetViz report takes ~60s; use time to discuss triage</w:t>
            </w:r>
          </w:p>
        </w:tc>
      </w:tr>
      <w:tr>
        <w:tc>
          <w:tcPr>
            <w:tcW w:type="dxa" w:w="12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0:43</w:t>
            </w:r>
          </w:p>
        </w:tc>
        <w:tc>
          <w:tcPr>
            <w:tcW w:type="dxa" w:w="50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TASK 2 — D-Tale guided cleaning (Issues 1–3)</w:t>
            </w:r>
          </w:p>
        </w:tc>
        <w:tc>
          <w:tcPr>
            <w:tcW w:type="dxa" w:w="15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20 min</w:t>
            </w:r>
          </w:p>
        </w:tc>
        <w:tc>
          <w:tcPr>
            <w:tcW w:type="dxa" w:w="1326"/>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Most students will need help with D-Tale UI first time</w:t>
            </w:r>
          </w:p>
        </w:tc>
      </w:tr>
      <w:tr>
        <w:tc>
          <w:tcPr>
            <w:tcW w:type="dxa" w:w="12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1:03</w:t>
            </w:r>
          </w:p>
        </w:tc>
        <w:tc>
          <w:tcPr>
            <w:tcW w:type="dxa" w:w="50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TASK 2 — Issues 4–6 + code export</w:t>
            </w:r>
          </w:p>
        </w:tc>
        <w:tc>
          <w:tcPr>
            <w:tcW w:type="dxa" w:w="15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12 min</w:t>
            </w:r>
          </w:p>
        </w:tc>
        <w:tc>
          <w:tcPr>
            <w:tcW w:type="dxa" w:w="1326"/>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Pair discussion on outlier decisions</w:t>
            </w:r>
          </w:p>
        </w:tc>
      </w:tr>
      <w:tr>
        <w:tc>
          <w:tcPr>
            <w:tcW w:type="dxa" w:w="12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1:15</w:t>
            </w:r>
          </w:p>
        </w:tc>
        <w:tc>
          <w:tcPr>
            <w:tcW w:type="dxa" w:w="50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TASK 2 — SweetViz comparison report</w:t>
            </w:r>
          </w:p>
        </w:tc>
        <w:tc>
          <w:tcPr>
            <w:tcW w:type="dxa" w:w="15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5 min</w:t>
            </w:r>
          </w:p>
        </w:tc>
        <w:tc>
          <w:tcPr>
            <w:tcW w:type="dxa" w:w="1326"/>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Before/after discussion</w:t>
            </w:r>
          </w:p>
        </w:tc>
      </w:tr>
      <w:tr>
        <w:tc>
          <w:tcPr>
            <w:tcW w:type="dxa" w:w="12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1:20</w:t>
            </w:r>
          </w:p>
        </w:tc>
        <w:tc>
          <w:tcPr>
            <w:tcW w:type="dxa" w:w="50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Buffer — common issues + wrap-up discussion</w:t>
            </w:r>
          </w:p>
        </w:tc>
        <w:tc>
          <w:tcPr>
            <w:tcW w:type="dxa" w:w="1500"/>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10 min</w:t>
            </w:r>
          </w:p>
        </w:tc>
        <w:tc>
          <w:tcPr>
            <w:tcW w:type="dxa" w:w="1326"/>
            <w:tcBorders>
              <w:top w:val="single" w:color="BBBBBB" w:sz="1"/>
              <w:left w:val="single" w:color="BBBBBB" w:sz="1"/>
              <w:bottom w:val="single" w:color="BBBBBB" w:sz="1"/>
              <w:right w:val="single" w:color="BBBBBB" w:sz="1"/>
            </w:tcBorders>
            <w:shd w:fill="F7FBFF" w:val="clear"/>
            <w:tcMar>
              <w:top w:type="dxa" w:w="80"/>
              <w:left w:type="dxa" w:w="120"/>
              <w:bottom w:type="dxa" w:w="80"/>
              <w:right w:type="dxa" w:w="120"/>
            </w:tcMar>
          </w:tcPr>
          <w:p>
            <w:r>
              <w:rPr>
                <w:rFonts w:ascii="Arial" w:cs="Arial" w:eastAsia="Arial" w:hAnsi="Arial"/>
                <w:sz w:val="19"/>
                <w:szCs w:val="19"/>
              </w:rPr>
              <w:t xml:space="preserve">See Discussion Prompts section</w:t>
            </w:r>
          </w:p>
        </w:tc>
      </w:tr>
      <w:tr>
        <w:tc>
          <w:tcPr>
            <w:tcW w:type="dxa" w:w="12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1:30</w:t>
            </w:r>
          </w:p>
        </w:tc>
        <w:tc>
          <w:tcPr>
            <w:tcW w:type="dxa" w:w="50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End — introduce Task 3 (independent)</w:t>
            </w:r>
          </w:p>
        </w:tc>
        <w:tc>
          <w:tcPr>
            <w:tcW w:type="dxa" w:w="1500"/>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w:t>
            </w:r>
          </w:p>
        </w:tc>
        <w:tc>
          <w:tcPr>
            <w:tcW w:type="dxa" w:w="1326"/>
            <w:tcBorders>
              <w:top w:val="single" w:color="BBBBBB" w:sz="1"/>
              <w:left w:val="single" w:color="BBBBBB" w:sz="1"/>
              <w:bottom w:val="single" w:color="BBBBBB" w:sz="1"/>
              <w:right w:val="single" w:color="BBBBBB" w:sz="1"/>
            </w:tcBorders>
            <w:shd w:fill="FFFFFF" w:val="clear"/>
            <w:tcMar>
              <w:top w:type="dxa" w:w="80"/>
              <w:left w:type="dxa" w:w="120"/>
              <w:bottom w:type="dxa" w:w="80"/>
              <w:right w:type="dxa" w:w="120"/>
            </w:tcMar>
          </w:tcPr>
          <w:p>
            <w:r>
              <w:rPr>
                <w:rFonts w:ascii="Arial" w:cs="Arial" w:eastAsia="Arial" w:hAnsi="Arial"/>
                <w:sz w:val="19"/>
                <w:szCs w:val="19"/>
              </w:rPr>
              <w:t xml:space="preserve">Distribute Task 3 notebooks and datasets</w:t>
            </w:r>
          </w:p>
        </w:tc>
      </w:tr>
    </w:tbl>
    <w:p>
      <w:pPr>
        <w:spacing w:after="80"/>
      </w:pPr>
    </w:p>
    <w:p>
      <w:pPr>
        <w:pBdr>
          <w:bottom w:val="single" w:color="CCCCCC" w:sz="4"/>
        </w:pBdr>
        <w:spacing w:after="160"/>
      </w:pPr>
    </w:p>
    <w:p>
      <w:pPr>
        <w:pStyle w:val="Heading1"/>
      </w:pPr>
      <w:r>
        <w:rPr>
          <w:rFonts w:ascii="Arial" w:cs="Arial" w:eastAsia="Arial" w:hAnsi="Arial"/>
          <w:b/>
          <w:bCs/>
          <w:color w:val="1F4E79"/>
          <w:sz w:val="32"/>
          <w:szCs w:val="32"/>
        </w:rPr>
        <w:t xml:space="preserve">Learning Objectives</w:t>
      </w:r>
    </w:p>
    <w:p>
      <w:pPr>
        <w:spacing w:after="100"/>
      </w:pPr>
      <w:r>
        <w:rPr>
          <w:rFonts w:ascii="Arial" w:cs="Arial" w:eastAsia="Arial" w:hAnsi="Arial"/>
          <w:sz w:val="22"/>
          <w:szCs w:val="22"/>
        </w:rPr>
        <w:t xml:space="preserve">This lab maps to the following course outcomes:</w:t>
      </w:r>
    </w:p>
    <w:p>
      <w:pPr>
        <w:pStyle w:val="ListParagraph"/>
        <w:numPr>
          <w:ilvl w:val="0"/>
          <w:numId w:val="2"/>
        </w:numPr>
        <w:spacing w:after="60"/>
      </w:pPr>
      <w:r>
        <w:rPr>
          <w:rFonts w:ascii="Arial" w:cs="Arial" w:eastAsia="Arial" w:hAnsi="Arial"/>
          <w:sz w:val="22"/>
          <w:szCs w:val="22"/>
        </w:rPr>
        <w:t xml:space="preserve">O1 — Describe the basic concepts and importance of interactive visualisation</w:t>
      </w:r>
    </w:p>
    <w:p>
      <w:pPr>
        <w:pStyle w:val="ListParagraph"/>
        <w:numPr>
          <w:ilvl w:val="0"/>
          <w:numId w:val="2"/>
        </w:numPr>
        <w:spacing w:after="60"/>
      </w:pPr>
      <w:r>
        <w:rPr>
          <w:rFonts w:ascii="Arial" w:cs="Arial" w:eastAsia="Arial" w:hAnsi="Arial"/>
          <w:sz w:val="22"/>
          <w:szCs w:val="22"/>
        </w:rPr>
        <w:t xml:space="preserve">O4 — Critically analyse the suitability of different visualisation techniques (Task 1: chart type selection)</w:t>
      </w:r>
    </w:p>
    <w:p>
      <w:pPr>
        <w:pStyle w:val="ListParagraph"/>
        <w:numPr>
          <w:ilvl w:val="0"/>
          <w:numId w:val="2"/>
        </w:numPr>
        <w:spacing w:after="60"/>
      </w:pPr>
      <w:r>
        <w:rPr>
          <w:rFonts w:ascii="Arial" w:cs="Arial" w:eastAsia="Arial" w:hAnsi="Arial"/>
          <w:sz w:val="22"/>
          <w:szCs w:val="22"/>
        </w:rPr>
        <w:t xml:space="preserve">O5 — Apply appropriate methodology to iterative development (Task 2: cleaning pipeline)</w:t>
      </w:r>
    </w:p>
    <w:p>
      <w:pPr>
        <w:pStyle w:val="ListParagraph"/>
        <w:numPr>
          <w:ilvl w:val="0"/>
          <w:numId w:val="2"/>
        </w:numPr>
        <w:spacing w:after="60"/>
      </w:pPr>
      <w:r>
        <w:rPr>
          <w:rFonts w:ascii="Arial" w:cs="Arial" w:eastAsia="Arial" w:hAnsi="Arial"/>
          <w:sz w:val="22"/>
          <w:szCs w:val="22"/>
        </w:rPr>
        <w:t xml:space="preserve">O6 — Develop visualisations using computational tools (pandas, seaborn, D-Tale, SweetViz)</w:t>
      </w:r>
    </w:p>
    <w:p>
      <w:pPr>
        <w:spacing w:after="80"/>
      </w:pPr>
    </w:p>
    <w:p>
      <w:pPr>
        <w:spacing w:after="100"/>
      </w:pPr>
      <w:r>
        <w:rPr>
          <w:rFonts w:ascii="Arial" w:cs="Arial" w:eastAsia="Arial" w:hAnsi="Arial"/>
          <w:sz w:val="22"/>
          <w:szCs w:val="22"/>
        </w:rPr>
        <w:t xml:space="preserve">Students completing this lab will specifically be able to:</w:t>
      </w:r>
    </w:p>
    <w:p>
      <w:pPr>
        <w:pStyle w:val="ListParagraph"/>
        <w:numPr>
          <w:ilvl w:val="0"/>
          <w:numId w:val="2"/>
        </w:numPr>
        <w:spacing w:after="60"/>
      </w:pPr>
      <w:r>
        <w:rPr>
          <w:rFonts w:ascii="Arial" w:cs="Arial" w:eastAsia="Arial" w:hAnsi="Arial"/>
          <w:sz w:val="22"/>
          <w:szCs w:val="22"/>
        </w:rPr>
        <w:t xml:space="preserve">Explain why summary statistics alone are insufficient for data understanding</w:t>
      </w:r>
    </w:p>
    <w:p>
      <w:pPr>
        <w:pStyle w:val="ListParagraph"/>
        <w:numPr>
          <w:ilvl w:val="0"/>
          <w:numId w:val="2"/>
        </w:numPr>
        <w:spacing w:after="60"/>
      </w:pPr>
      <w:r>
        <w:rPr>
          <w:rFonts w:ascii="Arial" w:cs="Arial" w:eastAsia="Arial" w:hAnsi="Arial"/>
          <w:sz w:val="22"/>
          <w:szCs w:val="22"/>
        </w:rPr>
        <w:t xml:space="preserve">Use pandas to compute grouped statistics and identify data type issues</w:t>
      </w:r>
    </w:p>
    <w:p>
      <w:pPr>
        <w:pStyle w:val="ListParagraph"/>
        <w:numPr>
          <w:ilvl w:val="0"/>
          <w:numId w:val="2"/>
        </w:numPr>
        <w:spacing w:after="60"/>
      </w:pPr>
      <w:r>
        <w:rPr>
          <w:rFonts w:ascii="Arial" w:cs="Arial" w:eastAsia="Arial" w:hAnsi="Arial"/>
          <w:sz w:val="22"/>
          <w:szCs w:val="22"/>
        </w:rPr>
        <w:t xml:space="preserve">Use seaborn to build scatter plots, histograms, and small multiples</w:t>
      </w:r>
    </w:p>
    <w:p>
      <w:pPr>
        <w:pStyle w:val="ListParagraph"/>
        <w:numPr>
          <w:ilvl w:val="0"/>
          <w:numId w:val="2"/>
        </w:numPr>
        <w:spacing w:after="60"/>
      </w:pPr>
      <w:r>
        <w:rPr>
          <w:rFonts w:ascii="Arial" w:cs="Arial" w:eastAsia="Arial" w:hAnsi="Arial"/>
          <w:sz w:val="22"/>
          <w:szCs w:val="22"/>
        </w:rPr>
        <w:t xml:space="preserve">Generate and interpret a SweetViz EDA report</w:t>
      </w:r>
    </w:p>
    <w:p>
      <w:pPr>
        <w:pStyle w:val="ListParagraph"/>
        <w:numPr>
          <w:ilvl w:val="0"/>
          <w:numId w:val="2"/>
        </w:numPr>
        <w:spacing w:after="60"/>
      </w:pPr>
      <w:r>
        <w:rPr>
          <w:rFonts w:ascii="Arial" w:cs="Arial" w:eastAsia="Arial" w:hAnsi="Arial"/>
          <w:sz w:val="22"/>
          <w:szCs w:val="22"/>
        </w:rPr>
        <w:t xml:space="preserve">Use D-Tale to identify and correct at least 4 categories of data quality issues</w:t>
      </w:r>
    </w:p>
    <w:p>
      <w:pPr>
        <w:pStyle w:val="ListParagraph"/>
        <w:numPr>
          <w:ilvl w:val="0"/>
          <w:numId w:val="2"/>
        </w:numPr>
        <w:spacing w:after="60"/>
      </w:pPr>
      <w:r>
        <w:rPr>
          <w:rFonts w:ascii="Arial" w:cs="Arial" w:eastAsia="Arial" w:hAnsi="Arial"/>
          <w:sz w:val="22"/>
          <w:szCs w:val="22"/>
        </w:rPr>
        <w:t xml:space="preserve">Articulate the difference between automated EDA tools and custom visualisation design</w:t>
      </w:r>
    </w:p>
    <w:p>
      <w:pPr>
        <w:spacing w:after="80"/>
      </w:pPr>
    </w:p>
    <w:p>
      <w:pPr>
        <w:pBdr>
          <w:bottom w:val="single" w:color="CCCCCC" w:sz="4"/>
        </w:pBdr>
        <w:spacing w:after="160"/>
      </w:pPr>
    </w:p>
    <w:p>
      <w:pPr>
        <w:pStyle w:val="Heading1"/>
      </w:pPr>
      <w:r>
        <w:rPr>
          <w:rFonts w:ascii="Arial" w:cs="Arial" w:eastAsia="Arial" w:hAnsi="Arial"/>
          <w:b/>
          <w:bCs/>
          <w:color w:val="1F4E79"/>
          <w:sz w:val="32"/>
          <w:szCs w:val="32"/>
        </w:rPr>
        <w:t xml:space="preserve">Required Materials</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800"/>
        <w:gridCol w:w="6226"/>
      </w:tblGrid>
      <w:tr>
        <w:tc>
          <w:tcPr>
            <w:tcW w:type="auto" w:w="0"/>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File</w:t>
            </w:r>
          </w:p>
        </w:tc>
        <w:tc>
          <w:tcPr>
            <w:tcW w:type="auto" w:w="0"/>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Purpose</w:t>
            </w:r>
          </w:p>
        </w:tc>
      </w:tr>
      <w:tr>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datasaurus_dozen.csv</w:t>
            </w:r>
          </w:p>
        </w:tc>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Dataset for Task 1 — provided with this lab pack</w:t>
            </w:r>
          </w:p>
        </w:tc>
      </w:tr>
      <w:tr>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dataset_A_indie_game_telemetry.csv</w:t>
            </w:r>
          </w:p>
        </w:tc>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Dataset for Task 2 — 10,000 rows, intentionally messy</w:t>
            </w:r>
          </w:p>
        </w:tc>
      </w:tr>
      <w:tr>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lab02_task1_datasaurus.ipynb</w:t>
            </w:r>
          </w:p>
        </w:tc>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Student notebook — Task 1</w:t>
            </w:r>
          </w:p>
        </w:tc>
      </w:tr>
      <w:tr>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lab02_task2_telemetry.ipynb</w:t>
            </w:r>
          </w:p>
        </w:tc>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Student notebook — Task 2</w:t>
            </w:r>
          </w:p>
        </w:tc>
      </w:tr>
      <w:tr>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sweetviz_raw_report.html</w:t>
            </w:r>
          </w:p>
        </w:tc>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Generated by students during Task 2 Part 2</w:t>
            </w:r>
          </w:p>
        </w:tc>
      </w:tr>
      <w:tr>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sweetviz_comparison_report.html</w:t>
            </w:r>
          </w:p>
        </w:tc>
        <w:tc>
          <w:tcPr>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20"/>
                <w:szCs w:val="20"/>
              </w:rPr>
              <w:t xml:space="preserve">Generated by students during Task 2 Part 5</w:t>
            </w:r>
          </w:p>
        </w:tc>
      </w:tr>
    </w:tbl>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D6E4F0" w:val="clear"/>
            <w:tcMar>
              <w:top w:type="dxa" w:w="120"/>
              <w:left w:type="dxa" w:w="180"/>
              <w:bottom w:type="dxa" w:w="120"/>
              <w:right w:type="dxa" w:w="180"/>
            </w:tcMar>
          </w:tcPr>
          <w:p>
            <w:pPr>
              <w:spacing w:after="60"/>
            </w:pPr>
            <w:r>
              <w:rPr>
                <w:rFonts w:ascii="Arial" w:cs="Arial" w:eastAsia="Arial" w:hAnsi="Arial"/>
                <w:b/>
                <w:bCs/>
                <w:color w:val="1F4E79"/>
                <w:sz w:val="22"/>
                <w:szCs w:val="22"/>
              </w:rPr>
              <w:t xml:space="preserve">Package requirements</w:t>
            </w:r>
          </w:p>
          <w:p>
            <w:pPr>
              <w:spacing w:after="40"/>
            </w:pPr>
            <w:r>
              <w:rPr>
                <w:rFonts w:ascii="Arial" w:cs="Arial" w:eastAsia="Arial" w:hAnsi="Arial"/>
                <w:sz w:val="21"/>
                <w:szCs w:val="21"/>
              </w:rPr>
              <w:t xml:space="preserve">• pandas, seaborn, matplotlib — standard; should already be installed</w:t>
            </w:r>
          </w:p>
          <w:p>
            <w:pPr>
              <w:spacing w:after="40"/>
            </w:pPr>
            <w:r>
              <w:rPr>
                <w:rFonts w:ascii="Arial" w:cs="Arial" w:eastAsia="Arial" w:hAnsi="Arial"/>
                <w:sz w:val="21"/>
                <w:szCs w:val="21"/>
              </w:rPr>
              <w:t xml:space="preserve">• sweetviz — pip install sweetviz</w:t>
            </w:r>
          </w:p>
          <w:p>
            <w:pPr>
              <w:spacing w:after="40"/>
            </w:pPr>
            <w:r>
              <w:rPr>
                <w:rFonts w:ascii="Arial" w:cs="Arial" w:eastAsia="Arial" w:hAnsi="Arial"/>
                <w:sz w:val="21"/>
                <w:szCs w:val="21"/>
              </w:rPr>
              <w:t xml:space="preserve">• dtale — pip install dtale</w:t>
            </w:r>
          </w:p>
          <w:p>
            <w:pPr>
              <w:spacing w:after="40"/>
            </w:pPr>
            <w:r>
              <w:rPr>
                <w:rFonts w:ascii="Arial" w:cs="Arial" w:eastAsia="Arial" w:hAnsi="Arial"/>
                <w:sz w:val="21"/>
                <w:szCs w:val="21"/>
              </w:rPr>
              <w:t xml:space="preserve">• Verify D-Tale launches in browser before class: dtale.show(pd.DataFrame()) in a notebook</w:t>
            </w:r>
          </w:p>
        </w:tc>
      </w:tr>
    </w:tbl>
    <w:p>
      <w:pPr>
        <w:spacing w:after="80"/>
      </w:pPr>
    </w:p>
    <w:p>
      <w:pPr>
        <w:pBdr>
          <w:bottom w:val="single" w:color="CCCCCC" w:sz="4"/>
        </w:pBdr>
        <w:spacing w:after="160"/>
      </w:pPr>
    </w:p>
    <w:p>
      <w:pPr>
        <w:pStyle w:val="Heading1"/>
      </w:pPr>
      <w:r>
        <w:rPr>
          <w:rFonts w:ascii="Arial" w:cs="Arial" w:eastAsia="Arial" w:hAnsi="Arial"/>
          <w:b/>
          <w:bCs/>
          <w:color w:val="1F4E79"/>
          <w:sz w:val="32"/>
          <w:szCs w:val="32"/>
        </w:rPr>
        <w:t xml:space="preserve">Task 1 — Datasaurus Dozen: Instructor Notes</w:t>
      </w:r>
    </w:p>
    <w:p>
      <w:pPr>
        <w:pStyle w:val="Heading2"/>
      </w:pPr>
      <w:r>
        <w:rPr>
          <w:rFonts w:ascii="Arial" w:cs="Arial" w:eastAsia="Arial" w:hAnsi="Arial"/>
          <w:b/>
          <w:bCs/>
          <w:color w:val="1F4E79"/>
          <w:sz w:val="26"/>
          <w:szCs w:val="26"/>
        </w:rPr>
        <w:t xml:space="preserve">Overview</w:t>
      </w:r>
    </w:p>
    <w:p>
      <w:pPr>
        <w:spacing w:after="100"/>
      </w:pPr>
      <w:r>
        <w:rPr>
          <w:rFonts w:ascii="Arial" w:cs="Arial" w:eastAsia="Arial" w:hAnsi="Arial"/>
          <w:sz w:val="22"/>
          <w:szCs w:val="22"/>
        </w:rPr>
        <w:t xml:space="preserve">Task 1 uses the Datasaurus Dozen to make a single, unforgettable argument: summary statistics can be identical across datasets with radically different structure, making visualisation not optional but necessary. The dataset has 13 named sub-datasets; students focus on dino, star, and bullseye, but receive all 13 for free exploration.</w:t>
      </w:r>
    </w:p>
    <w:p>
      <w:pPr>
        <w:pStyle w:val="Heading2"/>
      </w:pPr>
      <w:r>
        <w:rPr>
          <w:rFonts w:ascii="Arial" w:cs="Arial" w:eastAsia="Arial" w:hAnsi="Arial"/>
          <w:b/>
          <w:bCs/>
          <w:color w:val="1F4E79"/>
          <w:sz w:val="26"/>
          <w:szCs w:val="26"/>
        </w:rPr>
        <w:t xml:space="preserve">Pedagogical Sequence</w:t>
      </w:r>
    </w:p>
    <w:p>
      <w:pPr>
        <w:pStyle w:val="Heading3"/>
      </w:pPr>
      <w:r>
        <w:rPr>
          <w:rFonts w:ascii="Arial" w:cs="Arial" w:eastAsia="Arial" w:hAnsi="Arial"/>
          <w:b/>
          <w:bCs/>
          <w:color w:val="404040"/>
          <w:sz w:val="24"/>
          <w:szCs w:val="24"/>
        </w:rPr>
        <w:t xml:space="preserve">Part 1 — Structure inspection (8 min)</w:t>
      </w:r>
    </w:p>
    <w:p>
      <w:pPr>
        <w:spacing w:after="100"/>
      </w:pPr>
      <w:r>
        <w:rPr>
          <w:rFonts w:ascii="Arial" w:cs="Arial" w:eastAsia="Arial" w:hAnsi="Arial"/>
          <w:sz w:val="22"/>
          <w:szCs w:val="22"/>
        </w:rPr>
        <w:t xml:space="preserve">Run these cells together with students. Key points to narrate aloud:</w:t>
      </w:r>
    </w:p>
    <w:p>
      <w:pPr>
        <w:pStyle w:val="ListParagraph"/>
        <w:numPr>
          <w:ilvl w:val="0"/>
          <w:numId w:val="2"/>
        </w:numPr>
        <w:spacing w:after="60"/>
      </w:pPr>
      <w:r>
        <w:rPr>
          <w:rFonts w:ascii="Arial" w:cs="Arial" w:eastAsia="Arial" w:hAnsi="Arial"/>
          <w:sz w:val="22"/>
          <w:szCs w:val="22"/>
        </w:rPr>
        <w:t xml:space="preserve">Three columns only: dataset (categorical), x and y (numeric)</w:t>
      </w:r>
    </w:p>
    <w:p>
      <w:pPr>
        <w:pStyle w:val="ListParagraph"/>
        <w:numPr>
          <w:ilvl w:val="0"/>
          <w:numId w:val="2"/>
        </w:numPr>
        <w:spacing w:after="60"/>
      </w:pPr>
      <w:r>
        <w:rPr>
          <w:rFonts w:ascii="Arial" w:cs="Arial" w:eastAsia="Arial" w:hAnsi="Arial"/>
          <w:sz w:val="22"/>
          <w:szCs w:val="22"/>
        </w:rPr>
        <w:t xml:space="preserve">13 sub-datasets, 142 rows each — students should note this is a small, clean dataset</w:t>
      </w:r>
    </w:p>
    <w:p>
      <w:pPr>
        <w:pStyle w:val="ListParagraph"/>
        <w:numPr>
          <w:ilvl w:val="0"/>
          <w:numId w:val="2"/>
        </w:numPr>
        <w:spacing w:after="60"/>
      </w:pPr>
      <w:r>
        <w:rPr>
          <w:rFonts w:ascii="Arial" w:cs="Arial" w:eastAsia="Arial" w:hAnsi="Arial"/>
          <w:sz w:val="22"/>
          <w:szCs w:val="22"/>
        </w:rPr>
        <w:t xml:space="preserve">No missing values, no type issues — this is intentional: the lesson is about statistics, not cleaning</w:t>
      </w:r>
    </w:p>
    <w:p>
      <w:pPr>
        <w:pStyle w:val="ListParagraph"/>
        <w:numPr>
          <w:ilvl w:val="0"/>
          <w:numId w:val="2"/>
        </w:numPr>
        <w:spacing w:after="60"/>
      </w:pPr>
      <w:r>
        <w:rPr>
          <w:rFonts w:ascii="Arial" w:cs="Arial" w:eastAsia="Arial" w:hAnsi="Arial"/>
          <w:sz w:val="22"/>
          <w:szCs w:val="22"/>
        </w:rPr>
        <w:t xml:space="preserve">df.dtypes shows object for dataset and float64 for x and y — correct</w:t>
      </w:r>
    </w:p>
    <w:p>
      <w:pPr>
        <w:pStyle w:val="Heading3"/>
      </w:pPr>
      <w:r>
        <w:rPr>
          <w:rFonts w:ascii="Arial" w:cs="Arial" w:eastAsia="Arial" w:hAnsi="Arial"/>
          <w:b/>
          <w:bCs/>
          <w:color w:val="404040"/>
          <w:sz w:val="24"/>
          <w:szCs w:val="24"/>
        </w:rPr>
        <w:t xml:space="preserve">Part 2 — Grouped statistics (7 min)</w:t>
      </w:r>
    </w:p>
    <w:p>
      <w:pPr>
        <w:spacing w:after="100"/>
      </w:pPr>
      <w:r>
        <w:rPr>
          <w:rFonts w:ascii="Arial" w:cs="Arial" w:eastAsia="Arial" w:hAnsi="Arial"/>
          <w:sz w:val="22"/>
          <w:szCs w:val="22"/>
        </w:rPr>
        <w:t xml:space="preserve">This is the setup for the reveal. Run the grouped_stats cell. Then PAUSE before running any plot.</w:t>
      </w:r>
    </w:p>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FFF2CC" w:val="clear"/>
            <w:tcMar>
              <w:top w:type="dxa" w:w="120"/>
              <w:left w:type="dxa" w:w="180"/>
              <w:bottom w:type="dxa" w:w="120"/>
              <w:right w:type="dxa" w:w="180"/>
            </w:tcMar>
          </w:tcPr>
          <w:p>
            <w:pPr>
              <w:spacing w:after="60"/>
            </w:pPr>
            <w:r>
              <w:rPr>
                <w:rFonts w:ascii="Arial" w:cs="Arial" w:eastAsia="Arial" w:hAnsi="Arial"/>
                <w:b/>
                <w:bCs/>
                <w:color w:val="1F4E79"/>
                <w:sz w:val="21"/>
                <w:szCs w:val="21"/>
              </w:rPr>
              <w:t xml:space="preserve">🎓 Suggested narration before the scatter plot:</w:t>
            </w:r>
          </w:p>
          <w:p>
            <w:pPr>
              <w:spacing w:after="60"/>
            </w:pPr>
            <w:r>
              <w:rPr>
                <w:rFonts w:ascii="Arial" w:cs="Arial" w:eastAsia="Arial" w:hAnsi="Arial"/>
                <w:sz w:val="21"/>
                <w:szCs w:val="21"/>
              </w:rPr>
              <w:t xml:space="preserve">"Look at this table. Every single dataset has the same mean, the same standard deviation, and the same correlation. If I asked you whether these datasets are different, what would you say? Take 30 seconds — discuss with your neighbour."</w:t>
            </w:r>
          </w:p>
          <w:p>
            <w:pPr>
              <w:spacing w:after="0"/>
            </w:pPr>
            <w:r>
              <w:rPr>
                <w:rFonts w:ascii="Arial" w:cs="Arial" w:eastAsia="Arial" w:hAnsi="Arial"/>
                <w:sz w:val="21"/>
                <w:szCs w:val="21"/>
              </w:rPr>
              <w:t xml:space="preserve">Let students discuss briefly, then run the scatter plots. The visual contrast lands much harder after the pause.</w:t>
            </w:r>
          </w:p>
        </w:tc>
      </w:tr>
    </w:tbl>
    <w:p>
      <w:pPr>
        <w:spacing w:after="80"/>
      </w:pPr>
    </w:p>
    <w:p>
      <w:pPr>
        <w:spacing w:after="100"/>
      </w:pPr>
      <w:r>
        <w:rPr>
          <w:rFonts w:ascii="Arial" w:cs="Arial" w:eastAsia="Arial" w:hAnsi="Arial"/>
          <w:sz w:val="22"/>
          <w:szCs w:val="22"/>
        </w:rPr>
        <w:t xml:space="preserve">Expected student answer before the plot: 'They look the same / They are statistically identical.'</w:t>
      </w:r>
    </w:p>
    <w:p>
      <w:pPr>
        <w:spacing w:after="100"/>
      </w:pPr>
      <w:r>
        <w:rPr>
          <w:rFonts w:ascii="Arial" w:cs="Arial" w:eastAsia="Arial" w:hAnsi="Arial"/>
          <w:sz w:val="22"/>
          <w:szCs w:val="22"/>
        </w:rPr>
        <w:t xml:space="preserve">Expected student reaction after the plot: surprise, laughter. This emotional response is the learning event — let it breathe.</w:t>
      </w:r>
    </w:p>
    <w:p>
      <w:pPr>
        <w:pStyle w:val="Heading3"/>
      </w:pPr>
      <w:r>
        <w:rPr>
          <w:rFonts w:ascii="Arial" w:cs="Arial" w:eastAsia="Arial" w:hAnsi="Arial"/>
          <w:b/>
          <w:bCs/>
          <w:color w:val="404040"/>
          <w:sz w:val="24"/>
          <w:szCs w:val="24"/>
        </w:rPr>
        <w:t xml:space="preserve">Part 3 — Scatter plots (10 min)</w:t>
      </w:r>
    </w:p>
    <w:p>
      <w:pPr>
        <w:spacing w:after="100"/>
      </w:pPr>
      <w:r>
        <w:rPr>
          <w:rFonts w:ascii="Arial" w:cs="Arial" w:eastAsia="Arial" w:hAnsi="Arial"/>
          <w:sz w:val="22"/>
          <w:szCs w:val="22"/>
        </w:rPr>
        <w:t xml:space="preserve">Run both plot cells. The second one (with stats annotation overlay) is the most impactful — the mean crosshair sitting in totally different data distributions makes the point concrete.</w:t>
      </w:r>
    </w:p>
    <w:p>
      <w:pPr>
        <w:spacing w:after="100"/>
      </w:pPr>
      <w:r>
        <w:rPr>
          <w:rFonts w:ascii="Arial" w:cs="Arial" w:eastAsia="Arial" w:hAnsi="Arial"/>
          <w:sz w:val="22"/>
          <w:szCs w:val="22"/>
        </w:rPr>
        <w:t xml:space="preserve">For the FacetGrid (all 13 datasets): let students scan it for 60–90 seconds and ask: "Which of these would you NOT have detected from statistics alone?" Answer: all of them.</w:t>
      </w:r>
    </w:p>
    <w:p>
      <w:pPr>
        <w:pStyle w:val="Heading3"/>
      </w:pPr>
      <w:r>
        <w:rPr>
          <w:rFonts w:ascii="Arial" w:cs="Arial" w:eastAsia="Arial" w:hAnsi="Arial"/>
          <w:b/>
          <w:bCs/>
          <w:color w:val="404040"/>
          <w:sz w:val="24"/>
          <w:szCs w:val="24"/>
        </w:rPr>
        <w:t xml:space="preserve">Free exploration (5 min)</w:t>
      </w:r>
    </w:p>
    <w:p>
      <w:pPr>
        <w:spacing w:after="100"/>
      </w:pPr>
      <w:r>
        <w:rPr>
          <w:rFonts w:ascii="Arial" w:cs="Arial" w:eastAsia="Arial" w:hAnsi="Arial"/>
          <w:sz w:val="22"/>
          <w:szCs w:val="22"/>
        </w:rPr>
        <w:t xml:space="preserve">The suggested explorations in the notebook are designed to produce a pedagogical conclusion: scatter plots reveal structure; histograms sometimes reveal it (if distributions are very different); box plots almost never do (they summarise spread, not shape). Let students reach this conclusion through experimentation rather than telling them.</w:t>
      </w:r>
    </w:p>
    <w:p>
      <w:pPr>
        <w:pStyle w:val="Heading2"/>
      </w:pPr>
      <w:r>
        <w:rPr>
          <w:rFonts w:ascii="Arial" w:cs="Arial" w:eastAsia="Arial" w:hAnsi="Arial"/>
          <w:b/>
          <w:bCs/>
          <w:color w:val="1F4E79"/>
          <w:sz w:val="26"/>
          <w:szCs w:val="26"/>
        </w:rPr>
        <w:t xml:space="preserve">Common Issues</w:t>
      </w:r>
    </w:p>
    <w:p>
      <w:pPr>
        <w:pStyle w:val="ListParagraph"/>
        <w:numPr>
          <w:ilvl w:val="0"/>
          <w:numId w:val="2"/>
        </w:numPr>
        <w:spacing w:after="60"/>
      </w:pPr>
      <w:r>
        <w:rPr>
          <w:rFonts w:ascii="Arial" w:cs="Arial" w:eastAsia="Arial" w:hAnsi="Arial"/>
          <w:sz w:val="22"/>
          <w:szCs w:val="22"/>
        </w:rPr>
        <w:t xml:space="preserve">Students may not have matplotlib inline — add %matplotlib inline as first cell if needed</w:t>
      </w:r>
    </w:p>
    <w:p>
      <w:pPr>
        <w:pStyle w:val="ListParagraph"/>
        <w:numPr>
          <w:ilvl w:val="0"/>
          <w:numId w:val="2"/>
        </w:numPr>
        <w:spacing w:after="60"/>
      </w:pPr>
      <w:r>
        <w:rPr>
          <w:rFonts w:ascii="Arial" w:cs="Arial" w:eastAsia="Arial" w:hAnsi="Arial"/>
          <w:sz w:val="22"/>
          <w:szCs w:val="22"/>
        </w:rPr>
        <w:t xml:space="preserve">Some students will skip the 'pause and discuss' step — prompt them explicitly</w:t>
      </w:r>
    </w:p>
    <w:p>
      <w:pPr>
        <w:pStyle w:val="ListParagraph"/>
        <w:numPr>
          <w:ilvl w:val="0"/>
          <w:numId w:val="2"/>
        </w:numPr>
        <w:spacing w:after="60"/>
      </w:pPr>
      <w:r>
        <w:rPr>
          <w:rFonts w:ascii="Arial" w:cs="Arial" w:eastAsia="Arial" w:hAnsi="Arial"/>
          <w:sz w:val="22"/>
          <w:szCs w:val="22"/>
        </w:rPr>
        <w:t xml:space="preserve">FacetGrid may require figure size adjustment on low-res screens — sharex=False, sharey=False ensures independent axes</w:t>
      </w:r>
    </w:p>
    <w:p>
      <w:pPr>
        <w:pStyle w:val="Heading2"/>
      </w:pPr>
      <w:r>
        <w:rPr>
          <w:rFonts w:ascii="Arial" w:cs="Arial" w:eastAsia="Arial" w:hAnsi="Arial"/>
          <w:b/>
          <w:bCs/>
          <w:color w:val="1F4E79"/>
          <w:sz w:val="26"/>
          <w:szCs w:val="26"/>
        </w:rPr>
        <w:t xml:space="preserve">Key Discussion Question — End of Task 1</w:t>
      </w: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E2EFDA" w:val="clear"/>
            <w:tcMar>
              <w:top w:type="dxa" w:w="120"/>
              <w:left w:type="dxa" w:w="180"/>
              <w:bottom w:type="dxa" w:w="120"/>
              <w:right w:type="dxa" w:w="180"/>
            </w:tcMar>
          </w:tcPr>
          <w:p>
            <w:pPr>
              <w:spacing w:after="60"/>
            </w:pPr>
            <w:r>
              <w:rPr>
                <w:rFonts w:ascii="Arial" w:cs="Arial" w:eastAsia="Arial" w:hAnsi="Arial"/>
                <w:color w:val="1F4E79"/>
                <w:sz w:val="21"/>
                <w:szCs w:val="21"/>
              </w:rPr>
              <w:t xml:space="preserve">"We just used seaborn to write about 15 lines of code to produce these plots. For Task 2, you are going to meet a tool that gives you plots like this in one click — for free — for any dataset. As you use it, ask yourself: what does automation give you, and what does it take away?"</w:t>
            </w:r>
          </w:p>
          <w:p>
            <w:pPr>
              <w:spacing w:after="0"/>
            </w:pPr>
            <w:r>
              <w:rPr>
                <w:rFonts w:ascii="Arial" w:cs="Arial" w:eastAsia="Arial" w:hAnsi="Arial"/>
                <w:sz w:val="21"/>
                <w:szCs w:val="21"/>
              </w:rPr>
              <w:t xml:space="preserve">This primes the key insight: automated EDA tools are for understanding data, not for communicating it to an audience.</w:t>
            </w:r>
          </w:p>
        </w:tc>
      </w:tr>
    </w:tbl>
    <w:p>
      <w:pPr>
        <w:spacing w:after="80"/>
      </w:pPr>
    </w:p>
    <w:p>
      <w:pPr>
        <w:pBdr>
          <w:bottom w:val="single" w:color="CCCCCC" w:sz="4"/>
        </w:pBdr>
        <w:spacing w:after="160"/>
      </w:pPr>
    </w:p>
    <w:p>
      <w:pPr>
        <w:pStyle w:val="Heading1"/>
      </w:pPr>
      <w:r>
        <w:rPr>
          <w:rFonts w:ascii="Arial" w:cs="Arial" w:eastAsia="Arial" w:hAnsi="Arial"/>
          <w:b/>
          <w:bCs/>
          <w:color w:val="1F4E79"/>
          <w:sz w:val="32"/>
          <w:szCs w:val="32"/>
        </w:rPr>
        <w:t xml:space="preserve">Task 2 — Indie Game Telemetry: Instructor Notes</w:t>
      </w:r>
    </w:p>
    <w:p>
      <w:pPr>
        <w:pStyle w:val="Heading2"/>
      </w:pPr>
      <w:r>
        <w:rPr>
          <w:rFonts w:ascii="Arial" w:cs="Arial" w:eastAsia="Arial" w:hAnsi="Arial"/>
          <w:b/>
          <w:bCs/>
          <w:color w:val="1F4E79"/>
          <w:sz w:val="26"/>
          <w:szCs w:val="26"/>
        </w:rPr>
        <w:t xml:space="preserve">Dataset Overview</w:t>
      </w:r>
    </w:p>
    <w:p>
      <w:pPr>
        <w:spacing w:after="100"/>
      </w:pPr>
      <w:r>
        <w:rPr>
          <w:rFonts w:ascii="Arial" w:cs="Arial" w:eastAsia="Arial" w:hAnsi="Arial"/>
          <w:sz w:val="22"/>
          <w:szCs w:val="22"/>
        </w:rPr>
        <w:t xml:space="preserve">10,000 session records from a fictional indie game studio. Every issue in the dataset is deliberate and represents a real-world data quality pattern. There are 20 columns spanning IDs, timestamps, geographic regions, performance metrics, session metadata, and purchase data.</w:t>
      </w:r>
    </w:p>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2256"/>
        <w:gridCol w:w="2256"/>
        <w:gridCol w:w="2256"/>
        <w:gridCol w:w="2256"/>
      </w:tblGrid>
      <w:tr>
        <w:tc>
          <w:tcPr>
            <w:tcW w:type="dxa" w:w="2256"/>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Issue</w:t>
            </w:r>
          </w:p>
        </w:tc>
        <w:tc>
          <w:tcPr>
            <w:tcW w:type="dxa" w:w="2256"/>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Column(s)</w:t>
            </w:r>
          </w:p>
        </w:tc>
        <w:tc>
          <w:tcPr>
            <w:tcW w:type="dxa" w:w="2256"/>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What to look for</w:t>
            </w:r>
          </w:p>
        </w:tc>
        <w:tc>
          <w:tcPr>
            <w:tcW w:type="dxa" w:w="2256"/>
            <w:tcBorders>
              <w:top w:val="single" w:color="BBBBBB" w:sz="1"/>
              <w:left w:val="single" w:color="BBBBBB" w:sz="1"/>
              <w:bottom w:val="single" w:color="BBBBBB" w:sz="1"/>
              <w:right w:val="single" w:color="BBBBBB" w:sz="1"/>
            </w:tcBorders>
            <w:shd w:fill="1F4E79" w:val="clear"/>
            <w:tcMar>
              <w:top w:type="dxa" w:w="80"/>
              <w:left w:type="dxa" w:w="120"/>
              <w:bottom w:type="dxa" w:w="80"/>
              <w:right w:type="dxa" w:w="120"/>
            </w:tcMar>
          </w:tcPr>
          <w:p>
            <w:r>
              <w:rPr>
                <w:rFonts w:ascii="Arial" w:cs="Arial" w:eastAsia="Arial" w:hAnsi="Arial"/>
                <w:b/>
                <w:bCs/>
                <w:color w:val="FFFFFF"/>
                <w:sz w:val="20"/>
                <w:szCs w:val="20"/>
              </w:rPr>
              <w:t xml:space="preserve">Resolution in D-Tale</w:t>
            </w:r>
          </w:p>
        </w:tc>
      </w:tr>
      <w:tr>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Boolean encoding</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crash_flag, is_featured_event, is_long_session</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8 representations per column: Yes/No, True/False, true/false, 1/0</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Column Actions → Type Conversion → String to Bool</w:t>
            </w:r>
          </w:p>
        </w:tc>
      </w:tr>
      <w:tr>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Case + whitespace</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region, map_name, platform</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32–36 variants of 5–6 values each; leading/trailing spaces</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Column Actions → String Cleaning → Strip + Lowercase</w:t>
            </w:r>
          </w:p>
        </w:tc>
      </w:tr>
      <w:tr>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Typo in category</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input_method</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'controllr' instead of 'controller'; 'kb/m' vs 'kbm' variants</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Column Actions → Replace to standardise, then Strip + Lowercase</w:t>
            </w:r>
          </w:p>
        </w:tc>
      </w:tr>
      <w:tr>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Wrong decimal sep.</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purchase_amount</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Some values use comma: '1,80', '0,00'</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Replace ',' with '.', then Type Conversion → Float</w:t>
            </w:r>
          </w:p>
        </w:tc>
      </w:tr>
      <w:tr>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Structural missing</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gpu_model (67%)</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Console/mobile players have no GPU — missingness is meaningful</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Discussion decision: drop column or keep with NaN</w:t>
            </w:r>
          </w:p>
        </w:tc>
      </w:tr>
      <w:tr>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Sensor outlier</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avg_fps</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Max = 10,000 — physically impossible; logging error</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Filter rows &gt; 300 fps; set to NaN or drop</w:t>
            </w:r>
          </w:p>
        </w:tc>
      </w:tr>
      <w:tr>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Mixed datetime</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start_time, end_time</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ISO 8601, European DD/MM, US MM/DD, with/without timezone</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D-Tale Type Conversion + pandas to_datetime(utc=True)</w:t>
            </w:r>
          </w:p>
        </w:tc>
      </w:tr>
      <w:tr>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Sporadic missing</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ping_ms, purchase_amount, end_time</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&lt; 2% missing — random gaps</w:t>
            </w:r>
          </w:p>
        </w:tc>
        <w:tc>
          <w:tcPr>
            <w:tcW w:type="dxa" w:w="2256"/>
            <w:tcBorders>
              <w:top w:val="single" w:color="BBBBBB" w:sz="1"/>
              <w:left w:val="single" w:color="BBBBBB" w:sz="1"/>
              <w:bottom w:val="single" w:color="BBBBBB" w:sz="1"/>
              <w:right w:val="single" w:color="BBBBBB" w:sz="1"/>
            </w:tcBorders>
            <w:tcMar>
              <w:top w:type="dxa" w:w="80"/>
              <w:left w:type="dxa" w:w="120"/>
              <w:bottom w:type="dxa" w:w="80"/>
              <w:right w:type="dxa" w:w="120"/>
            </w:tcMar>
          </w:tcPr>
          <w:p>
            <w:r>
              <w:rPr>
                <w:rFonts w:ascii="Arial" w:cs="Arial" w:eastAsia="Arial" w:hAnsi="Arial"/>
                <w:sz w:val="19"/>
                <w:szCs w:val="19"/>
              </w:rPr>
              <w:t xml:space="preserve">Leave as NaN; document in analysis</w:t>
            </w:r>
          </w:p>
        </w:tc>
      </w:tr>
    </w:tbl>
    <w:p>
      <w:pPr>
        <w:spacing w:after="80"/>
      </w:pPr>
    </w:p>
    <w:p>
      <w:pPr>
        <w:pStyle w:val="Heading2"/>
      </w:pPr>
      <w:r>
        <w:rPr>
          <w:rFonts w:ascii="Arial" w:cs="Arial" w:eastAsia="Arial" w:hAnsi="Arial"/>
          <w:b/>
          <w:bCs/>
          <w:color w:val="1F4E79"/>
          <w:sz w:val="26"/>
          <w:szCs w:val="26"/>
        </w:rPr>
        <w:t xml:space="preserve">Part 2 — SweetViz: What to Expect and Point Out</w:t>
      </w:r>
    </w:p>
    <w:p>
      <w:pPr>
        <w:spacing w:after="100"/>
      </w:pPr>
      <w:r>
        <w:rPr>
          <w:rFonts w:ascii="Arial" w:cs="Arial" w:eastAsia="Arial" w:hAnsi="Arial"/>
          <w:sz w:val="22"/>
          <w:szCs w:val="22"/>
        </w:rPr>
        <w:t xml:space="preserve">SweetViz will take 30–60 seconds to generate. While it runs, ask students to predict which columns will have issues based on what they saw in df.dtypes. Then compare their predictions to the report.</w:t>
      </w:r>
    </w:p>
    <w:p>
      <w:pPr>
        <w:spacing w:after="100"/>
      </w:pPr>
      <w:r>
        <w:rPr>
          <w:rFonts w:ascii="Arial" w:cs="Arial" w:eastAsia="Arial" w:hAnsi="Arial"/>
          <w:sz w:val="22"/>
          <w:szCs w:val="22"/>
        </w:rPr>
        <w:t xml:space="preserve">In the report, direct students' attention to:</w:t>
      </w:r>
    </w:p>
    <w:p>
      <w:pPr>
        <w:pStyle w:val="ListParagraph"/>
        <w:numPr>
          <w:ilvl w:val="0"/>
          <w:numId w:val="2"/>
        </w:numPr>
        <w:spacing w:after="60"/>
      </w:pPr>
      <w:r>
        <w:rPr>
          <w:rFonts w:ascii="Arial" w:cs="Arial" w:eastAsia="Arial" w:hAnsi="Arial"/>
          <w:sz w:val="22"/>
          <w:szCs w:val="22"/>
        </w:rPr>
        <w:t xml:space="preserve">The TYPE column — any column shown as TEXT that should be boolean or numeric</w:t>
      </w:r>
    </w:p>
    <w:p>
      <w:pPr>
        <w:pStyle w:val="ListParagraph"/>
        <w:numPr>
          <w:ilvl w:val="0"/>
          <w:numId w:val="2"/>
        </w:numPr>
        <w:spacing w:after="60"/>
      </w:pPr>
      <w:r>
        <w:rPr>
          <w:rFonts w:ascii="Arial" w:cs="Arial" w:eastAsia="Arial" w:hAnsi="Arial"/>
          <w:sz w:val="22"/>
          <w:szCs w:val="22"/>
        </w:rPr>
        <w:t xml:space="preserve">The MISSING bar — gpu_model will be dramatically highlighted</w:t>
      </w:r>
    </w:p>
    <w:p>
      <w:pPr>
        <w:pStyle w:val="ListParagraph"/>
        <w:numPr>
          <w:ilvl w:val="0"/>
          <w:numId w:val="2"/>
        </w:numPr>
        <w:spacing w:after="60"/>
      </w:pPr>
      <w:r>
        <w:rPr>
          <w:rFonts w:ascii="Arial" w:cs="Arial" w:eastAsia="Arial" w:hAnsi="Arial"/>
          <w:sz w:val="22"/>
          <w:szCs w:val="22"/>
        </w:rPr>
        <w:t xml:space="preserve">The DISTINCT count for region and map_name — far too many for what should be clean categories</w:t>
      </w:r>
    </w:p>
    <w:p>
      <w:pPr>
        <w:pStyle w:val="ListParagraph"/>
        <w:numPr>
          <w:ilvl w:val="0"/>
          <w:numId w:val="2"/>
        </w:numPr>
        <w:spacing w:after="60"/>
      </w:pPr>
      <w:r>
        <w:rPr>
          <w:rFonts w:ascii="Arial" w:cs="Arial" w:eastAsia="Arial" w:hAnsi="Arial"/>
          <w:sz w:val="22"/>
          <w:szCs w:val="22"/>
        </w:rPr>
        <w:t xml:space="preserve">The range for avg_fps — the max of 10,000 should be visible in the histogram</w:t>
      </w:r>
    </w:p>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FFF2CC" w:val="clear"/>
            <w:tcMar>
              <w:top w:type="dxa" w:w="120"/>
              <w:left w:type="dxa" w:w="180"/>
              <w:bottom w:type="dxa" w:w="120"/>
              <w:right w:type="dxa" w:w="180"/>
            </w:tcMar>
          </w:tcPr>
          <w:p>
            <w:pPr>
              <w:spacing w:after="60"/>
            </w:pPr>
            <w:r>
              <w:rPr>
                <w:rFonts w:ascii="Arial" w:cs="Arial" w:eastAsia="Arial" w:hAnsi="Arial"/>
                <w:b/>
                <w:bCs/>
                <w:sz w:val="21"/>
                <w:szCs w:val="21"/>
              </w:rPr>
              <w:t xml:space="preserve">⚠️ D-Tale browser port: by default D-Tale runs on port 40000.</w:t>
            </w:r>
          </w:p>
          <w:p>
            <w:pPr>
              <w:spacing w:after="60"/>
            </w:pPr>
            <w:r>
              <w:rPr>
                <w:rFonts w:ascii="Arial" w:cs="Arial" w:eastAsia="Arial" w:hAnsi="Arial"/>
                <w:sz w:val="21"/>
                <w:szCs w:val="21"/>
              </w:rPr>
              <w:t xml:space="preserve">If students are running Jupyter locally, the link will open correctly. In JupyterHub or remote environments, the port may be blocked. Pre-test this setup before class. If blocked, use subprocess=True and configure the proxy URL.</w:t>
            </w:r>
          </w:p>
        </w:tc>
      </w:tr>
    </w:tbl>
    <w:p>
      <w:pPr>
        <w:pStyle w:val="Heading2"/>
      </w:pPr>
      <w:r>
        <w:rPr>
          <w:rFonts w:ascii="Arial" w:cs="Arial" w:eastAsia="Arial" w:hAnsi="Arial"/>
          <w:b/>
          <w:bCs/>
          <w:color w:val="1F4E79"/>
          <w:sz w:val="26"/>
          <w:szCs w:val="26"/>
        </w:rPr>
        <w:t xml:space="preserve">Part 3 — D-Tale Issue-by-Issue Notes</w:t>
      </w:r>
    </w:p>
    <w:p>
      <w:pPr>
        <w:pStyle w:val="Heading3"/>
      </w:pPr>
      <w:r>
        <w:rPr>
          <w:rFonts w:ascii="Arial" w:cs="Arial" w:eastAsia="Arial" w:hAnsi="Arial"/>
          <w:b/>
          <w:bCs/>
          <w:color w:val="404040"/>
          <w:sz w:val="24"/>
          <w:szCs w:val="24"/>
        </w:rPr>
        <w:t xml:space="preserve">Issue 1 — Missing Values: The gpu_model Decision</w:t>
      </w:r>
    </w:p>
    <w:p>
      <w:pPr>
        <w:spacing w:after="100"/>
      </w:pPr>
      <w:r>
        <w:rPr>
          <w:rFonts w:ascii="Arial" w:cs="Arial" w:eastAsia="Arial" w:hAnsi="Arial"/>
          <w:sz w:val="22"/>
          <w:szCs w:val="22"/>
        </w:rPr>
        <w:t xml:space="preserve">This is the most important discussion point in the task. There is no single correct answer — the pedagogical value is in the reasoning process:</w:t>
      </w:r>
    </w:p>
    <w:p>
      <w:pPr>
        <w:pStyle w:val="ListParagraph"/>
        <w:numPr>
          <w:ilvl w:val="0"/>
          <w:numId w:val="2"/>
        </w:numPr>
        <w:spacing w:after="60"/>
      </w:pPr>
      <w:r>
        <w:rPr>
          <w:rFonts w:ascii="Arial" w:cs="Arial" w:eastAsia="Arial" w:hAnsi="Arial"/>
          <w:sz w:val="22"/>
          <w:szCs w:val="22"/>
        </w:rPr>
        <w:t xml:space="preserve">Argument to DROP: 67% missing renders the column useless for most analyses; keeping it creates false impressions of available data</w:t>
      </w:r>
    </w:p>
    <w:p>
      <w:pPr>
        <w:pStyle w:val="ListParagraph"/>
        <w:numPr>
          <w:ilvl w:val="0"/>
          <w:numId w:val="2"/>
        </w:numPr>
        <w:spacing w:after="60"/>
      </w:pPr>
      <w:r>
        <w:rPr>
          <w:rFonts w:ascii="Arial" w:cs="Arial" w:eastAsia="Arial" w:hAnsi="Arial"/>
          <w:sz w:val="22"/>
          <w:szCs w:val="22"/>
        </w:rPr>
        <w:t xml:space="preserve">Argument to KEEP: the missingness is structurally informative — you can use it as a proxy for 'console/mobile player'; imputing would destroy this signal</w:t>
      </w:r>
    </w:p>
    <w:p>
      <w:pPr>
        <w:pStyle w:val="ListParagraph"/>
        <w:numPr>
          <w:ilvl w:val="0"/>
          <w:numId w:val="2"/>
        </w:numPr>
        <w:spacing w:after="60"/>
      </w:pPr>
      <w:r>
        <w:rPr>
          <w:rFonts w:ascii="Arial" w:cs="Arial" w:eastAsia="Arial" w:hAnsi="Arial"/>
          <w:sz w:val="22"/>
          <w:szCs w:val="22"/>
        </w:rPr>
        <w:t xml:space="preserve">Correct answer: KEEP but document the interpretation. The column is not missing at random (MCAR) — it is missing not at random (MNAR), and that difference matters analytically</w:t>
      </w:r>
    </w:p>
    <w:p>
      <w:pPr>
        <w:spacing w:after="100"/>
      </w:pPr>
      <w:r>
        <w:rPr>
          <w:rFonts w:ascii="Arial" w:cs="Arial" w:eastAsia="Arial" w:hAnsi="Arial"/>
          <w:sz w:val="22"/>
          <w:szCs w:val="22"/>
        </w:rPr>
        <w:t xml:space="preserve">Give pairs 3 minutes to decide and articulate their reasoning before moving on.</w:t>
      </w:r>
    </w:p>
    <w:p>
      <w:pPr>
        <w:pStyle w:val="Heading3"/>
      </w:pPr>
      <w:r>
        <w:rPr>
          <w:rFonts w:ascii="Arial" w:cs="Arial" w:eastAsia="Arial" w:hAnsi="Arial"/>
          <w:b/>
          <w:bCs/>
          <w:color w:val="404040"/>
          <w:sz w:val="24"/>
          <w:szCs w:val="24"/>
        </w:rPr>
        <w:t xml:space="preserve">Issue 2 — Boolean Columns</w:t>
      </w:r>
    </w:p>
    <w:p>
      <w:pPr>
        <w:spacing w:after="100"/>
      </w:pPr>
      <w:r>
        <w:rPr>
          <w:rFonts w:ascii="Arial" w:cs="Arial" w:eastAsia="Arial" w:hAnsi="Arial"/>
          <w:sz w:val="22"/>
          <w:szCs w:val="22"/>
        </w:rPr>
        <w:t xml:space="preserve">D-Tale's String to Bool conversion handles the most common variants automatically (True/False/1/0). However, 'Yes'/'No' may require a manual Replace step first. Walk through one column with the class, then let students handle the other two independently.</w:t>
      </w:r>
    </w:p>
    <w:p>
      <w:pPr>
        <w:spacing w:after="100"/>
      </w:pPr>
      <w:r>
        <w:rPr>
          <w:rFonts w:ascii="Arial" w:cs="Arial" w:eastAsia="Arial" w:hAnsi="Arial"/>
          <w:sz w:val="22"/>
          <w:szCs w:val="22"/>
        </w:rPr>
        <w:t xml:space="preserve">Expected result: each of the three columns should show exactly 2 unique values (True/False) and a clean bar chart in Describe.</w:t>
      </w:r>
    </w:p>
    <w:p>
      <w:pPr>
        <w:pStyle w:val="Heading3"/>
      </w:pPr>
      <w:r>
        <w:rPr>
          <w:rFonts w:ascii="Arial" w:cs="Arial" w:eastAsia="Arial" w:hAnsi="Arial"/>
          <w:b/>
          <w:bCs/>
          <w:color w:val="404040"/>
          <w:sz w:val="24"/>
          <w:szCs w:val="24"/>
        </w:rPr>
        <w:t xml:space="preserve">Issue 3 — Categorical Cleaning</w:t>
      </w:r>
    </w:p>
    <w:p>
      <w:pPr>
        <w:spacing w:after="100"/>
      </w:pPr>
      <w:r>
        <w:rPr>
          <w:rFonts w:ascii="Arial" w:cs="Arial" w:eastAsia="Arial" w:hAnsi="Arial"/>
          <w:sz w:val="22"/>
          <w:szCs w:val="22"/>
        </w:rPr>
        <w:t xml:space="preserve">The most time-consuming step. Recommend doing region together as a demonstration, then letting students handle map_name, platform, and input_method independently.</w:t>
      </w:r>
    </w:p>
    <w:p>
      <w:pPr>
        <w:spacing w:after="100"/>
      </w:pPr>
      <w:r>
        <w:rPr>
          <w:rFonts w:ascii="Arial" w:cs="Arial" w:eastAsia="Arial" w:hAnsi="Arial"/>
          <w:sz w:val="22"/>
          <w:szCs w:val="22"/>
        </w:rPr>
        <w:t xml:space="preserve">For input_method: students must decide which variant to standardise to. 'kbm', 'kb/m', and 'KBM' all refer to keyboard+mouse. Pick one — the choice is less important than consistency. Suggest 'kbm' as the canonical form.</w:t>
      </w:r>
    </w:p>
    <w:p>
      <w:pPr>
        <w:pStyle w:val="Heading3"/>
      </w:pPr>
      <w:r>
        <w:rPr>
          <w:rFonts w:ascii="Arial" w:cs="Arial" w:eastAsia="Arial" w:hAnsi="Arial"/>
          <w:b/>
          <w:bCs/>
          <w:color w:val="404040"/>
          <w:sz w:val="24"/>
          <w:szCs w:val="24"/>
        </w:rPr>
        <w:t xml:space="preserve">Issue 5 — avg_fps Outlier</w:t>
      </w:r>
    </w:p>
    <w:p>
      <w:pPr>
        <w:spacing w:after="100"/>
      </w:pPr>
      <w:r>
        <w:rPr>
          <w:rFonts w:ascii="Arial" w:cs="Arial" w:eastAsia="Arial" w:hAnsi="Arial"/>
          <w:sz w:val="22"/>
          <w:szCs w:val="22"/>
        </w:rPr>
        <w:t xml:space="preserve">This is the most analytically interesting decision. Ask students: 'Should we DROP these rows, or should we mark the fps value as invalid (NaN) while keeping the rest of the row's data?'</w:t>
      </w:r>
    </w:p>
    <w:p>
      <w:pPr>
        <w:pStyle w:val="ListParagraph"/>
        <w:numPr>
          <w:ilvl w:val="0"/>
          <w:numId w:val="2"/>
        </w:numPr>
        <w:spacing w:after="60"/>
      </w:pPr>
      <w:r>
        <w:rPr>
          <w:rFonts w:ascii="Arial" w:cs="Arial" w:eastAsia="Arial" w:hAnsi="Arial"/>
          <w:sz w:val="22"/>
          <w:szCs w:val="22"/>
        </w:rPr>
        <w:t xml:space="preserve">DROP: cleaner; fewer decisions downstream</w:t>
      </w:r>
    </w:p>
    <w:p>
      <w:pPr>
        <w:pStyle w:val="ListParagraph"/>
        <w:numPr>
          <w:ilvl w:val="0"/>
          <w:numId w:val="2"/>
        </w:numPr>
        <w:spacing w:after="60"/>
      </w:pPr>
      <w:r>
        <w:rPr>
          <w:rFonts w:ascii="Arial" w:cs="Arial" w:eastAsia="Arial" w:hAnsi="Arial"/>
          <w:sz w:val="22"/>
          <w:szCs w:val="22"/>
        </w:rPr>
        <w:t xml:space="preserve">SET TO NaN: preserves other columns in those rows (crash data, purchase data) which may still be valid</w:t>
      </w:r>
    </w:p>
    <w:p>
      <w:pPr>
        <w:spacing w:after="100"/>
      </w:pPr>
      <w:r>
        <w:rPr>
          <w:rFonts w:ascii="Arial" w:cs="Arial" w:eastAsia="Arial" w:hAnsi="Arial"/>
          <w:sz w:val="22"/>
          <w:szCs w:val="22"/>
        </w:rPr>
        <w:t xml:space="preserve">Preferred answer: set to NaN. Row-level deletion is appropriate only if the entire row is suspect. A bad fps reading does not invalidate the purchase amount or crash flag recorded in the same session.</w:t>
      </w:r>
    </w:p>
    <w:p>
      <w:pPr>
        <w:pStyle w:val="Heading3"/>
      </w:pPr>
      <w:r>
        <w:rPr>
          <w:rFonts w:ascii="Arial" w:cs="Arial" w:eastAsia="Arial" w:hAnsi="Arial"/>
          <w:b/>
          <w:bCs/>
          <w:color w:val="404040"/>
          <w:sz w:val="24"/>
          <w:szCs w:val="24"/>
        </w:rPr>
        <w:t xml:space="preserve">Issue 6 — Mixed Datetime Formats</w:t>
      </w:r>
    </w:p>
    <w:p>
      <w:pPr>
        <w:spacing w:after="100"/>
      </w:pPr>
      <w:r>
        <w:rPr>
          <w:rFonts w:ascii="Arial" w:cs="Arial" w:eastAsia="Arial" w:hAnsi="Arial"/>
          <w:sz w:val="22"/>
          <w:szCs w:val="22"/>
        </w:rPr>
        <w:t xml:space="preserve">D-Tale's UI type conversion will successfully parse ISO 8601 formats but will likely fail on European DD/MM/YYYY and US MM/DD formats. This is intentional — it demonstrates the limits of point-and-click cleaning and motivates the pandas cell in Part 4.</w:t>
      </w:r>
    </w:p>
    <w:p>
      <w:pPr>
        <w:spacing w:after="100"/>
      </w:pPr>
      <w:r>
        <w:rPr>
          <w:rFonts w:ascii="Arial" w:cs="Arial" w:eastAsia="Arial" w:hAnsi="Arial"/>
          <w:sz w:val="22"/>
          <w:szCs w:val="22"/>
        </w:rPr>
        <w:t xml:space="preserve">The pandas approach (utc=True, errors='coerce') normalises all parsed timestamps to UTC and converts unparseable values to NaT, giving students a clean, consistent datetime column.</w:t>
      </w:r>
    </w:p>
    <w:p>
      <w:pPr>
        <w:pStyle w:val="Heading2"/>
      </w:pPr>
      <w:r>
        <w:rPr>
          <w:rFonts w:ascii="Arial" w:cs="Arial" w:eastAsia="Arial" w:hAnsi="Arial"/>
          <w:b/>
          <w:bCs/>
          <w:color w:val="1F4E79"/>
          <w:sz w:val="26"/>
          <w:szCs w:val="26"/>
        </w:rPr>
        <w:t xml:space="preserve">Part 4 — Code Export</w:t>
      </w:r>
    </w:p>
    <w:p>
      <w:pPr>
        <w:spacing w:after="100"/>
      </w:pPr>
      <w:r>
        <w:rPr>
          <w:rFonts w:ascii="Arial" w:cs="Arial" w:eastAsia="Arial" w:hAnsi="Arial"/>
          <w:sz w:val="22"/>
          <w:szCs w:val="22"/>
        </w:rPr>
        <w:t xml:space="preserve">In D-Tale: top-right corner → the &lt;/&gt; (code) icon → 'Export Code'. The exported code will include every cleaning action performed in the session as a pandas pipeline. Students paste this into the notebook cell.</w:t>
      </w:r>
    </w:p>
    <w:p>
      <w:pPr>
        <w:spacing w:after="100"/>
      </w:pPr>
      <w:r>
        <w:rPr>
          <w:rFonts w:ascii="Arial" w:cs="Arial" w:eastAsia="Arial" w:hAnsi="Arial"/>
          <w:sz w:val="22"/>
          <w:szCs w:val="22"/>
        </w:rPr>
        <w:t xml:space="preserve">Point out: D-Tale generates correct pandas code but may not generate the most efficient or readable version. This is where the analyst adds value — reviewing, simplifying, and adding comments.</w:t>
      </w:r>
    </w:p>
    <w:p>
      <w:pPr>
        <w:pStyle w:val="Heading2"/>
      </w:pPr>
      <w:r>
        <w:rPr>
          <w:rFonts w:ascii="Arial" w:cs="Arial" w:eastAsia="Arial" w:hAnsi="Arial"/>
          <w:b/>
          <w:bCs/>
          <w:color w:val="1F4E79"/>
          <w:sz w:val="26"/>
          <w:szCs w:val="26"/>
        </w:rPr>
        <w:t xml:space="preserve">Part 5 — SweetViz Comparison Report</w:t>
      </w:r>
    </w:p>
    <w:p>
      <w:pPr>
        <w:spacing w:after="100"/>
      </w:pPr>
      <w:r>
        <w:rPr>
          <w:rFonts w:ascii="Arial" w:cs="Arial" w:eastAsia="Arial" w:hAnsi="Arial"/>
          <w:sz w:val="22"/>
          <w:szCs w:val="22"/>
        </w:rPr>
        <w:t xml:space="preserve">This is the validation step. The before/after comparison report should clearly show:</w:t>
      </w:r>
    </w:p>
    <w:p>
      <w:pPr>
        <w:pStyle w:val="ListParagraph"/>
        <w:numPr>
          <w:ilvl w:val="0"/>
          <w:numId w:val="2"/>
        </w:numPr>
        <w:spacing w:after="60"/>
      </w:pPr>
      <w:r>
        <w:rPr>
          <w:rFonts w:ascii="Arial" w:cs="Arial" w:eastAsia="Arial" w:hAnsi="Arial"/>
          <w:sz w:val="22"/>
          <w:szCs w:val="22"/>
        </w:rPr>
        <w:t xml:space="preserve">Boolean columns: TYPE changes from TEXT to BOOL</w:t>
      </w:r>
    </w:p>
    <w:p>
      <w:pPr>
        <w:pStyle w:val="ListParagraph"/>
        <w:numPr>
          <w:ilvl w:val="0"/>
          <w:numId w:val="2"/>
        </w:numPr>
        <w:spacing w:after="60"/>
      </w:pPr>
      <w:r>
        <w:rPr>
          <w:rFonts w:ascii="Arial" w:cs="Arial" w:eastAsia="Arial" w:hAnsi="Arial"/>
          <w:sz w:val="22"/>
          <w:szCs w:val="22"/>
        </w:rPr>
        <w:t xml:space="preserve">Categorical columns: DISTINCT count drops dramatically</w:t>
      </w:r>
    </w:p>
    <w:p>
      <w:pPr>
        <w:pStyle w:val="ListParagraph"/>
        <w:numPr>
          <w:ilvl w:val="0"/>
          <w:numId w:val="2"/>
        </w:numPr>
        <w:spacing w:after="60"/>
      </w:pPr>
      <w:r>
        <w:rPr>
          <w:rFonts w:ascii="Arial" w:cs="Arial" w:eastAsia="Arial" w:hAnsi="Arial"/>
          <w:sz w:val="22"/>
          <w:szCs w:val="22"/>
        </w:rPr>
        <w:t xml:space="preserve">purchase_amount: TYPE changes from TEXT to NUMERIC, distribution becomes readable</w:t>
      </w:r>
    </w:p>
    <w:p>
      <w:pPr>
        <w:pStyle w:val="ListParagraph"/>
        <w:numPr>
          <w:ilvl w:val="0"/>
          <w:numId w:val="2"/>
        </w:numPr>
        <w:spacing w:after="60"/>
      </w:pPr>
      <w:r>
        <w:rPr>
          <w:rFonts w:ascii="Arial" w:cs="Arial" w:eastAsia="Arial" w:hAnsi="Arial"/>
          <w:sz w:val="22"/>
          <w:szCs w:val="22"/>
        </w:rPr>
        <w:t xml:space="preserve">avg_fps: maximum is no longer 10,000</w:t>
      </w:r>
    </w:p>
    <w:p>
      <w:pPr>
        <w:spacing w:after="80"/>
      </w:pPr>
    </w:p>
    <w:p>
      <w:pPr>
        <w:pBdr>
          <w:bottom w:val="single" w:color="CCCCCC" w:sz="4"/>
        </w:pBdr>
        <w:spacing w:after="160"/>
      </w:pPr>
    </w:p>
    <w:p>
      <w:pPr>
        <w:pStyle w:val="Heading1"/>
      </w:pPr>
      <w:r>
        <w:rPr>
          <w:rFonts w:ascii="Arial" w:cs="Arial" w:eastAsia="Arial" w:hAnsi="Arial"/>
          <w:b/>
          <w:bCs/>
          <w:color w:val="1F4E79"/>
          <w:sz w:val="32"/>
          <w:szCs w:val="32"/>
        </w:rPr>
        <w:t xml:space="preserve">Wrap-Up Discussion Prompts</w:t>
      </w:r>
    </w:p>
    <w:p>
      <w:pPr>
        <w:spacing w:after="100"/>
      </w:pPr>
      <w:r>
        <w:rPr>
          <w:rFonts w:ascii="Arial" w:cs="Arial" w:eastAsia="Arial" w:hAnsi="Arial"/>
          <w:sz w:val="22"/>
          <w:szCs w:val="22"/>
        </w:rPr>
        <w:t xml:space="preserve">Use any remaining time to facilitate a discussion using one or more of these prompts:</w:t>
      </w:r>
    </w:p>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D6E4F0" w:val="clear"/>
            <w:tcMar>
              <w:top w:type="dxa" w:w="120"/>
              <w:left w:type="dxa" w:w="180"/>
              <w:bottom w:type="dxa" w:w="120"/>
              <w:right w:type="dxa" w:w="180"/>
            </w:tcMar>
          </w:tcPr>
          <w:p>
            <w:pPr>
              <w:spacing w:after="80"/>
            </w:pPr>
            <w:r>
              <w:rPr>
                <w:rFonts w:ascii="Arial" w:cs="Arial" w:eastAsia="Arial" w:hAnsi="Arial"/>
                <w:b/>
                <w:bCs/>
                <w:sz w:val="22"/>
                <w:szCs w:val="22"/>
              </w:rPr>
              <w:t xml:space="preserve">1. What is the difference between SweetViz and D-Tale? When would you use each?</w:t>
            </w:r>
          </w:p>
          <w:p>
            <w:pPr>
              <w:spacing w:after="0"/>
            </w:pPr>
            <w:r>
              <w:rPr>
                <w:rFonts w:ascii="Arial" w:cs="Arial" w:eastAsia="Arial" w:hAnsi="Arial"/>
                <w:sz w:val="21"/>
                <w:szCs w:val="21"/>
              </w:rPr>
              <w:t xml:space="preserve">Expected: SweetViz for rapid triage and before/after comparison (report-oriented); D-Tale for interactive inspection and cleaning (action-oriented). They complement each other.</w:t>
            </w:r>
          </w:p>
        </w:tc>
      </w:tr>
    </w:tbl>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D6E4F0" w:val="clear"/>
            <w:tcMar>
              <w:top w:type="dxa" w:w="120"/>
              <w:left w:type="dxa" w:w="180"/>
              <w:bottom w:type="dxa" w:w="120"/>
              <w:right w:type="dxa" w:w="180"/>
            </w:tcMar>
          </w:tcPr>
          <w:p>
            <w:pPr>
              <w:spacing w:after="80"/>
            </w:pPr>
            <w:r>
              <w:rPr>
                <w:rFonts w:ascii="Arial" w:cs="Arial" w:eastAsia="Arial" w:hAnsi="Arial"/>
                <w:b/>
                <w:bCs/>
                <w:sz w:val="22"/>
                <w:szCs w:val="22"/>
              </w:rPr>
              <w:t xml:space="preserve">2. SweetViz produced a full analysis report in one line of code. Could you use it to present findings to a client?</w:t>
            </w:r>
          </w:p>
          <w:p>
            <w:pPr>
              <w:spacing w:after="0"/>
            </w:pPr>
            <w:r>
              <w:rPr>
                <w:rFonts w:ascii="Arial" w:cs="Arial" w:eastAsia="Arial" w:hAnsi="Arial"/>
                <w:sz w:val="21"/>
                <w:szCs w:val="21"/>
              </w:rPr>
              <w:t xml:space="preserve">Expected: No — or not directly. SweetViz produces generic, universal visualisations designed for the analyst, not for the audience. A client report requires task-specific, curated, explanatory visualisations. This is the core distinction between EDA tools and visualisation design.</w:t>
            </w:r>
          </w:p>
        </w:tc>
      </w:tr>
    </w:tbl>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D6E4F0" w:val="clear"/>
            <w:tcMar>
              <w:top w:type="dxa" w:w="120"/>
              <w:left w:type="dxa" w:w="180"/>
              <w:bottom w:type="dxa" w:w="120"/>
              <w:right w:type="dxa" w:w="180"/>
            </w:tcMar>
          </w:tcPr>
          <w:p>
            <w:pPr>
              <w:spacing w:after="80"/>
            </w:pPr>
            <w:r>
              <w:rPr>
                <w:rFonts w:ascii="Arial" w:cs="Arial" w:eastAsia="Arial" w:hAnsi="Arial"/>
                <w:b/>
                <w:bCs/>
                <w:sz w:val="22"/>
                <w:szCs w:val="22"/>
              </w:rPr>
              <w:t xml:space="preserve">3. We spent 50 minutes cleaning one dataset. Is that normal? Is it worth it?</w:t>
            </w:r>
          </w:p>
          <w:p>
            <w:pPr>
              <w:spacing w:after="0"/>
            </w:pPr>
            <w:r>
              <w:rPr>
                <w:rFonts w:ascii="Arial" w:cs="Arial" w:eastAsia="Arial" w:hAnsi="Arial"/>
                <w:sz w:val="21"/>
                <w:szCs w:val="21"/>
              </w:rPr>
              <w:t xml:space="preserve">Expected: Yes — industry estimates suggest 60–80% of data work is cleaning. The visualisation is only as trustworthy as the data behind it. Dirty data produces misleading visualisations, and a beautiful chart built on bad data is worse than no chart.</w:t>
            </w:r>
          </w:p>
        </w:tc>
      </w:tr>
    </w:tbl>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D6E4F0" w:val="clear"/>
            <w:tcMar>
              <w:top w:type="dxa" w:w="120"/>
              <w:left w:type="dxa" w:w="180"/>
              <w:bottom w:type="dxa" w:w="120"/>
              <w:right w:type="dxa" w:w="180"/>
            </w:tcMar>
          </w:tcPr>
          <w:p>
            <w:pPr>
              <w:spacing w:after="80"/>
            </w:pPr>
            <w:r>
              <w:rPr>
                <w:rFonts w:ascii="Arial" w:cs="Arial" w:eastAsia="Arial" w:hAnsi="Arial"/>
                <w:b/>
                <w:bCs/>
                <w:sz w:val="22"/>
                <w:szCs w:val="22"/>
              </w:rPr>
              <w:t xml:space="preserve">4. What was the hardest decision you made during cleaning? Why?</w:t>
            </w:r>
          </w:p>
          <w:p>
            <w:pPr>
              <w:spacing w:after="0"/>
            </w:pPr>
            <w:r>
              <w:rPr>
                <w:rFonts w:ascii="Arial" w:cs="Arial" w:eastAsia="Arial" w:hAnsi="Arial"/>
                <w:sz w:val="21"/>
                <w:szCs w:val="21"/>
              </w:rPr>
              <w:t xml:space="preserve">Expected: gpu_model (drop vs keep) and avg_fps threshold. Both require domain knowledge and explicit reasoning — they are not mechanical fixes. This is why human judgment cannot be replaced by automation in data cleaning.</w:t>
            </w:r>
          </w:p>
        </w:tc>
      </w:tr>
    </w:tbl>
    <w:p>
      <w:pPr>
        <w:spacing w:after="80"/>
      </w:pPr>
    </w:p>
    <w:p>
      <w:pPr>
        <w:pBdr>
          <w:bottom w:val="single" w:color="CCCCCC" w:sz="4"/>
        </w:pBdr>
        <w:spacing w:after="160"/>
      </w:pPr>
    </w:p>
    <w:p>
      <w:pPr>
        <w:pStyle w:val="Heading1"/>
      </w:pPr>
      <w:r>
        <w:rPr>
          <w:rFonts w:ascii="Arial" w:cs="Arial" w:eastAsia="Arial" w:hAnsi="Arial"/>
          <w:b/>
          <w:bCs/>
          <w:color w:val="1F4E79"/>
          <w:sz w:val="32"/>
          <w:szCs w:val="32"/>
        </w:rPr>
        <w:t xml:space="preserve">Transition to Task 3 (Independent)</w:t>
      </w:r>
    </w:p>
    <w:p>
      <w:pPr>
        <w:spacing w:after="100"/>
      </w:pPr>
      <w:r>
        <w:rPr>
          <w:rFonts w:ascii="Arial" w:cs="Arial" w:eastAsia="Arial" w:hAnsi="Arial"/>
          <w:sz w:val="22"/>
          <w:szCs w:val="22"/>
        </w:rPr>
        <w:t xml:space="preserve">Distribute the Task 3 notebooks and datasets at the end of the lab. Students have 15–20 minutes to start independently. The instructor circulates but provides minimal guidance — the goal is to test transfer of Task 2 skills.</w:t>
      </w:r>
    </w:p>
    <w:p>
      <w:pPr>
        <w:spacing w:after="100"/>
      </w:pPr>
      <w:r>
        <w:rPr>
          <w:rFonts w:ascii="Arial" w:cs="Arial" w:eastAsia="Arial" w:hAnsi="Arial"/>
          <w:sz w:val="22"/>
          <w:szCs w:val="22"/>
        </w:rPr>
        <w:t xml:space="preserve">Remind students:</w:t>
      </w:r>
    </w:p>
    <w:p>
      <w:pPr>
        <w:pStyle w:val="ListParagraph"/>
        <w:numPr>
          <w:ilvl w:val="0"/>
          <w:numId w:val="2"/>
        </w:numPr>
        <w:spacing w:after="60"/>
      </w:pPr>
      <w:r>
        <w:rPr>
          <w:rFonts w:ascii="Arial" w:cs="Arial" w:eastAsia="Arial" w:hAnsi="Arial"/>
          <w:sz w:val="22"/>
          <w:szCs w:val="22"/>
        </w:rPr>
        <w:t xml:space="preserve">Follow the same pipeline: quick pandas inspection → SweetViz triage → D-Tale cleaning → pandas refinement</w:t>
      </w:r>
    </w:p>
    <w:p>
      <w:pPr>
        <w:pStyle w:val="ListParagraph"/>
        <w:numPr>
          <w:ilvl w:val="0"/>
          <w:numId w:val="2"/>
        </w:numPr>
        <w:spacing w:after="60"/>
      </w:pPr>
      <w:r>
        <w:rPr>
          <w:rFonts w:ascii="Arial" w:cs="Arial" w:eastAsia="Arial" w:hAnsi="Arial"/>
          <w:sz w:val="22"/>
          <w:szCs w:val="22"/>
        </w:rPr>
        <w:t xml:space="preserve">Document every decision with a written rationale in the notebook (markdown cells)</w:t>
      </w:r>
    </w:p>
    <w:p>
      <w:pPr>
        <w:pStyle w:val="ListParagraph"/>
        <w:numPr>
          <w:ilvl w:val="0"/>
          <w:numId w:val="2"/>
        </w:numPr>
        <w:spacing w:after="60"/>
      </w:pPr>
      <w:r>
        <w:rPr>
          <w:rFonts w:ascii="Arial" w:cs="Arial" w:eastAsia="Arial" w:hAnsi="Arial"/>
          <w:sz w:val="22"/>
          <w:szCs w:val="22"/>
        </w:rPr>
        <w:t xml:space="preserve">The EDA checklist handout provides a structured reminder of what to look for</w:t>
      </w:r>
    </w:p>
    <w:p>
      <w:pPr>
        <w:spacing w:after="8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BBBBBB" w:sz="1"/>
              <w:left w:val="single" w:color="BBBBBB" w:sz="1"/>
              <w:bottom w:val="single" w:color="BBBBBB" w:sz="1"/>
              <w:right w:val="single" w:color="BBBBBB" w:sz="1"/>
            </w:tcBorders>
            <w:shd w:fill="E2EFDA" w:val="clear"/>
            <w:tcMar>
              <w:top w:type="dxa" w:w="120"/>
              <w:left w:type="dxa" w:w="180"/>
              <w:bottom w:type="dxa" w:w="120"/>
              <w:right w:type="dxa" w:w="180"/>
            </w:tcMar>
          </w:tcPr>
          <w:p>
            <w:pPr>
              <w:spacing w:after="60"/>
            </w:pPr>
            <w:r>
              <w:rPr>
                <w:rFonts w:ascii="Arial" w:cs="Arial" w:eastAsia="Arial" w:hAnsi="Arial"/>
                <w:b/>
                <w:bCs/>
                <w:sz w:val="22"/>
                <w:szCs w:val="22"/>
              </w:rPr>
              <w:t xml:space="preserve">Dataset options for Task 3:</w:t>
            </w:r>
          </w:p>
          <w:p>
            <w:pPr>
              <w:spacing w:after="40"/>
            </w:pPr>
            <w:r>
              <w:rPr>
                <w:rFonts w:ascii="Arial" w:cs="Arial" w:eastAsia="Arial" w:hAnsi="Arial"/>
                <w:sz w:val="21"/>
                <w:szCs w:val="21"/>
              </w:rPr>
              <w:t xml:space="preserve">• Dataset E (Mobile App Analytics) — os/network_type case chaos, app_version format inconsistency, boolean chaos. Recommended for groups that want a domain similar to Task 2.</w:t>
            </w:r>
          </w:p>
          <w:p>
            <w:pPr>
              <w:spacing w:after="0"/>
            </w:pPr>
            <w:r>
              <w:rPr>
                <w:rFonts w:ascii="Arial" w:cs="Arial" w:eastAsia="Arial" w:hAnsi="Arial"/>
                <w:sz w:val="21"/>
                <w:szCs w:val="21"/>
              </w:rPr>
              <w:t xml:space="preserve">• Dataset F (Issue Tracker Events) — state whitespace/case, structural missingness in closed_at, boolean chaos. Slightly simpler; recommended if time is short.</w:t>
            </w:r>
          </w:p>
        </w:tc>
      </w:tr>
    </w:tbl>
    <w:sectPr>
      <w:footerReference w:type="default" r:id="rId6"/>
      <w:pgSz w:w="11906" w:h="16838" w:orient="portrait"/>
      <w:pgMar w:top="1080" w:right="1080" w:bottom="1080" w:left="108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right"/>
    </w:pPr>
    <w:r>
      <w:rPr>
        <w:rFonts w:ascii="Arial" w:cs="Arial" w:eastAsia="Arial" w:hAnsi="Arial"/>
        <w:color w:val="888888"/>
        <w:sz w:val="18"/>
        <w:szCs w:val="18"/>
      </w:rPr>
      <w:t xml:space="preserve">Lab 02 — Instructor Guide    |    Interactive Data Visualization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360"/>
      </w:pPr>
    </w:lvl>
    <w:lvl w:ilvl="1" w15:tentative="1">
      <w:start w:val="1"/>
      <w:numFmt w:val="bullet"/>
      <w:lvlText w:val="–"/>
      <w:lvlJc w:val="left"/>
      <w:pPr>
        <w:ind w:left="90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20" w:after="160"/>
      <w:outlineLvl w:val="0"/>
    </w:pPr>
    <w:rPr>
      <w:rFonts w:ascii="Arial" w:cs="Arial" w:eastAsia="Arial" w:hAnsi="Arial"/>
      <w:b/>
      <w:bCs/>
      <w:color w:val="1F4E79"/>
      <w:sz w:val="32"/>
      <w:szCs w:val="32"/>
    </w:rPr>
  </w:style>
  <w:style w:type="paragraph" w:styleId="Heading2">
    <w:name w:val="Heading 2"/>
    <w:basedOn w:val="Normal"/>
    <w:next w:val="Normal"/>
    <w:qFormat/>
    <w:pPr>
      <w:spacing w:before="240" w:after="120"/>
      <w:outlineLvl w:val="1"/>
    </w:pPr>
    <w:rPr>
      <w:rFonts w:ascii="Arial" w:cs="Arial" w:eastAsia="Arial" w:hAnsi="Arial"/>
      <w:b/>
      <w:bCs/>
      <w:color w:val="1F4E79"/>
      <w:sz w:val="26"/>
      <w:szCs w:val="26"/>
    </w:rPr>
  </w:style>
  <w:style w:type="paragraph" w:styleId="Heading3">
    <w:name w:val="Heading 3"/>
    <w:basedOn w:val="Normal"/>
    <w:next w:val="Normal"/>
    <w:qFormat/>
    <w:pPr>
      <w:spacing w:before="180" w:after="100"/>
      <w:outlineLvl w:val="2"/>
    </w:pPr>
    <w:rPr>
      <w:rFonts w:ascii="Arial" w:cs="Arial" w:eastAsia="Arial" w:hAnsi="Arial"/>
      <w:b/>
      <w:bCs/>
      <w:color w:val="404040"/>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footer" Target="footer1.xml"/><Relationship Id="rId7" Type="http://schemas.openxmlformats.org/officeDocument/2006/relationships/fontTable" Target="fontTable.xml"/></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2026-02-22T18:08:44.490Z</dcterms:created>
  <dcterms:modified xsi:type="dcterms:W3CDTF">2026-02-22T18:08:44.491Z</dcterms:modified>
</cp:coreProperties>
</file>

<file path=docProps/custom.xml><?xml version="1.0" encoding="utf-8"?>
<Properties xmlns="http://schemas.openxmlformats.org/officeDocument/2006/custom-properties" xmlns:vt="http://schemas.openxmlformats.org/officeDocument/2006/docPropsVTypes"/>
</file>